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jc w:val="center"/>
      </w:pPr>
      <w:r>
        <w:rPr>
          <w:rFonts w:ascii="台灣明體" w:hAnsi="台灣明體" w:eastAsia="台灣明體"/>
          <w:b w:val="0"/>
          <w:sz w:val="26"/>
        </w:rPr>
        <w:t xml:space="preserve"> 《孟子 · 告子上》(選)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t>孟子曰：「魚，我所欲也；熊掌，亦我所欲也，二者不可得兼，舍魚而取熊掌者也。生，亦我所欲也；義，亦我所欲也，二者不可得兼，舍生而取義者也。生亦我所欲，所欲有甚於生者，故不為苟得也；死亦我所惡，所惡有甚於死者，故患有所不辟也。如使人之所欲莫甚於生，則凡可以得生者，何不用也？使人之所惡莫甚於死者，則凡可以辟患者，何不為也？由是則生而有不用也，由是則可以辟患而有不為也。是故所欲有甚於生者，所惡有甚於死者，非獨賢者有是心也，人皆有之，賢者能勿喪耳。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r>
        <w:rPr>
          <w:rFonts w:ascii="台灣明體" w:hAnsi="台灣明體" w:eastAsia="台灣明體"/>
          <w:b w:val="0"/>
          <w:sz w:val="26"/>
        </w:rPr>
        <w:t>目錄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